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83D67" w14:textId="21AEA079" w:rsidR="00F545E7" w:rsidRPr="003B55D7" w:rsidRDefault="002676FE" w:rsidP="00F545E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B55D7">
        <w:rPr>
          <w:rFonts w:ascii="Arial" w:hAnsi="Arial" w:cs="Arial"/>
          <w:b/>
          <w:sz w:val="40"/>
          <w:szCs w:val="40"/>
        </w:rPr>
        <w:t>Exclusion P</w:t>
      </w:r>
      <w:r w:rsidR="00F545E7" w:rsidRPr="003B55D7">
        <w:rPr>
          <w:rFonts w:ascii="Arial" w:hAnsi="Arial" w:cs="Arial"/>
          <w:b/>
          <w:sz w:val="40"/>
          <w:szCs w:val="40"/>
        </w:rPr>
        <w:t>eriod</w:t>
      </w:r>
      <w:r w:rsidRPr="003B55D7">
        <w:rPr>
          <w:rFonts w:ascii="Arial" w:hAnsi="Arial" w:cs="Arial"/>
          <w:b/>
          <w:sz w:val="40"/>
          <w:szCs w:val="40"/>
        </w:rPr>
        <w:t>s Policy</w:t>
      </w:r>
    </w:p>
    <w:tbl>
      <w:tblPr>
        <w:tblpPr w:leftFromText="180" w:rightFromText="180" w:vertAnchor="page" w:horzAnchor="page" w:tblpX="893" w:tblpY="2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3614"/>
        <w:gridCol w:w="3219"/>
      </w:tblGrid>
      <w:tr w:rsidR="00F545E7" w:rsidRPr="003B55D7" w14:paraId="0624D153" w14:textId="77777777" w:rsidTr="005A6243">
        <w:tc>
          <w:tcPr>
            <w:tcW w:w="3843" w:type="dxa"/>
          </w:tcPr>
          <w:p w14:paraId="0D3852A4" w14:textId="77777777" w:rsidR="00F545E7" w:rsidRPr="003B55D7" w:rsidRDefault="002676FE" w:rsidP="005A62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Illness/Disease</w:t>
            </w:r>
          </w:p>
        </w:tc>
        <w:tc>
          <w:tcPr>
            <w:tcW w:w="3614" w:type="dxa"/>
          </w:tcPr>
          <w:p w14:paraId="44C71639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Exclusion</w:t>
            </w:r>
          </w:p>
        </w:tc>
        <w:tc>
          <w:tcPr>
            <w:tcW w:w="3219" w:type="dxa"/>
          </w:tcPr>
          <w:p w14:paraId="24AC6ED6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Requirements</w:t>
            </w:r>
          </w:p>
        </w:tc>
      </w:tr>
      <w:tr w:rsidR="00F545E7" w:rsidRPr="003B55D7" w14:paraId="51FCDD45" w14:textId="77777777" w:rsidTr="005A6243">
        <w:tc>
          <w:tcPr>
            <w:tcW w:w="3843" w:type="dxa"/>
          </w:tcPr>
          <w:p w14:paraId="4D7F1EDD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Chicken Pox</w:t>
            </w:r>
          </w:p>
        </w:tc>
        <w:tc>
          <w:tcPr>
            <w:tcW w:w="3614" w:type="dxa"/>
          </w:tcPr>
          <w:p w14:paraId="20CFE997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5 Days from onset of rash &amp; scabs have crusted over</w:t>
            </w:r>
          </w:p>
        </w:tc>
        <w:tc>
          <w:tcPr>
            <w:tcW w:w="3219" w:type="dxa"/>
          </w:tcPr>
          <w:p w14:paraId="63410F82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3AA09101" w14:textId="77777777" w:rsidTr="005A6243">
        <w:tc>
          <w:tcPr>
            <w:tcW w:w="3843" w:type="dxa"/>
          </w:tcPr>
          <w:p w14:paraId="6CC1813F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Dysentery/Food Poisoning and Gastroenteritis</w:t>
            </w:r>
            <w:r w:rsidR="002676FE" w:rsidRPr="003B55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14" w:type="dxa"/>
          </w:tcPr>
          <w:p w14:paraId="56883E47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48 Hours after diarrhoea &amp; vomiting has stopped</w:t>
            </w:r>
          </w:p>
        </w:tc>
        <w:tc>
          <w:tcPr>
            <w:tcW w:w="3219" w:type="dxa"/>
          </w:tcPr>
          <w:p w14:paraId="43CA1551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526DF7E7" w14:textId="77777777" w:rsidTr="005A6243">
        <w:tc>
          <w:tcPr>
            <w:tcW w:w="3843" w:type="dxa"/>
          </w:tcPr>
          <w:p w14:paraId="3CE79F44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Conjunctivitis</w:t>
            </w:r>
          </w:p>
        </w:tc>
        <w:tc>
          <w:tcPr>
            <w:tcW w:w="3614" w:type="dxa"/>
          </w:tcPr>
          <w:p w14:paraId="1CD5CD9F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None but appropriate advice for treatment must be sought.</w:t>
            </w:r>
          </w:p>
        </w:tc>
        <w:tc>
          <w:tcPr>
            <w:tcW w:w="3219" w:type="dxa"/>
          </w:tcPr>
          <w:p w14:paraId="513DFF0A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If eyes are sore or child is upset or unwell they should not attend nursery.</w:t>
            </w:r>
          </w:p>
        </w:tc>
      </w:tr>
      <w:tr w:rsidR="00F545E7" w:rsidRPr="003B55D7" w14:paraId="3C00CAFA" w14:textId="77777777" w:rsidTr="005A6243">
        <w:tc>
          <w:tcPr>
            <w:tcW w:w="3843" w:type="dxa"/>
          </w:tcPr>
          <w:p w14:paraId="5FCC2784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Fifth Disease (Slapped cheek syndrome)</w:t>
            </w:r>
          </w:p>
        </w:tc>
        <w:tc>
          <w:tcPr>
            <w:tcW w:w="3614" w:type="dxa"/>
          </w:tcPr>
          <w:p w14:paraId="3614E18C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3219" w:type="dxa"/>
          </w:tcPr>
          <w:p w14:paraId="5A1D9598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If child is unwell they should not attend nursery.</w:t>
            </w:r>
          </w:p>
        </w:tc>
      </w:tr>
      <w:tr w:rsidR="00F545E7" w:rsidRPr="003B55D7" w14:paraId="312AE2DB" w14:textId="77777777" w:rsidTr="005A6243">
        <w:tc>
          <w:tcPr>
            <w:tcW w:w="3843" w:type="dxa"/>
          </w:tcPr>
          <w:p w14:paraId="05779BBC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Hand foot &amp; Mouth Disease</w:t>
            </w:r>
          </w:p>
        </w:tc>
        <w:tc>
          <w:tcPr>
            <w:tcW w:w="3614" w:type="dxa"/>
          </w:tcPr>
          <w:p w14:paraId="589E36A4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3219" w:type="dxa"/>
          </w:tcPr>
          <w:p w14:paraId="48A30606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If child is unwell they should not attend nursery.</w:t>
            </w:r>
          </w:p>
        </w:tc>
      </w:tr>
      <w:tr w:rsidR="00F545E7" w:rsidRPr="003B55D7" w14:paraId="69A749CC" w14:textId="77777777" w:rsidTr="005A6243">
        <w:tc>
          <w:tcPr>
            <w:tcW w:w="3843" w:type="dxa"/>
          </w:tcPr>
          <w:p w14:paraId="554DBAC2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Head Lice</w:t>
            </w:r>
          </w:p>
        </w:tc>
        <w:tc>
          <w:tcPr>
            <w:tcW w:w="3614" w:type="dxa"/>
          </w:tcPr>
          <w:p w14:paraId="22027E18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Until treatment is given</w:t>
            </w:r>
          </w:p>
        </w:tc>
        <w:tc>
          <w:tcPr>
            <w:tcW w:w="3219" w:type="dxa"/>
          </w:tcPr>
          <w:p w14:paraId="54AC1B7C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3F89EDB1" w14:textId="77777777" w:rsidTr="005A6243">
        <w:tc>
          <w:tcPr>
            <w:tcW w:w="3843" w:type="dxa"/>
          </w:tcPr>
          <w:p w14:paraId="51C70A93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Hepatitis A</w:t>
            </w:r>
          </w:p>
        </w:tc>
        <w:tc>
          <w:tcPr>
            <w:tcW w:w="3614" w:type="dxa"/>
          </w:tcPr>
          <w:p w14:paraId="5BED7FB8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7 days from onset of jaundice</w:t>
            </w:r>
          </w:p>
        </w:tc>
        <w:tc>
          <w:tcPr>
            <w:tcW w:w="3219" w:type="dxa"/>
          </w:tcPr>
          <w:p w14:paraId="41499946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1F0DF20B" w14:textId="77777777" w:rsidTr="005A6243">
        <w:tc>
          <w:tcPr>
            <w:tcW w:w="3843" w:type="dxa"/>
          </w:tcPr>
          <w:p w14:paraId="29708248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Impetigo</w:t>
            </w:r>
          </w:p>
        </w:tc>
        <w:tc>
          <w:tcPr>
            <w:tcW w:w="3614" w:type="dxa"/>
          </w:tcPr>
          <w:p w14:paraId="5C42DBF9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48 hours or until lesions are crusted if healed </w:t>
            </w:r>
          </w:p>
        </w:tc>
        <w:tc>
          <w:tcPr>
            <w:tcW w:w="3219" w:type="dxa"/>
          </w:tcPr>
          <w:p w14:paraId="0BFDB4CE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1104A1FB" w14:textId="77777777" w:rsidTr="005A6243">
        <w:tc>
          <w:tcPr>
            <w:tcW w:w="3843" w:type="dxa"/>
          </w:tcPr>
          <w:p w14:paraId="750B541A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Mumps</w:t>
            </w:r>
          </w:p>
        </w:tc>
        <w:tc>
          <w:tcPr>
            <w:tcW w:w="3614" w:type="dxa"/>
          </w:tcPr>
          <w:p w14:paraId="4EA66DEB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5 Days from onset of swollen glands</w:t>
            </w:r>
          </w:p>
        </w:tc>
        <w:tc>
          <w:tcPr>
            <w:tcW w:w="3219" w:type="dxa"/>
          </w:tcPr>
          <w:p w14:paraId="61D3AF9A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22C70243" w14:textId="77777777" w:rsidTr="005A6243">
        <w:tc>
          <w:tcPr>
            <w:tcW w:w="3843" w:type="dxa"/>
          </w:tcPr>
          <w:p w14:paraId="79C6D766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Ring worm </w:t>
            </w:r>
          </w:p>
        </w:tc>
        <w:tc>
          <w:tcPr>
            <w:tcW w:w="3614" w:type="dxa"/>
          </w:tcPr>
          <w:p w14:paraId="5C424D41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None but appropriate treatment must be sought</w:t>
            </w:r>
          </w:p>
        </w:tc>
        <w:tc>
          <w:tcPr>
            <w:tcW w:w="3219" w:type="dxa"/>
          </w:tcPr>
          <w:p w14:paraId="769A9159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3AC4A3AE" w14:textId="77777777" w:rsidTr="005A6243">
        <w:tc>
          <w:tcPr>
            <w:tcW w:w="3843" w:type="dxa"/>
          </w:tcPr>
          <w:p w14:paraId="47AE92CA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Rubella (German Measles)</w:t>
            </w:r>
          </w:p>
        </w:tc>
        <w:tc>
          <w:tcPr>
            <w:tcW w:w="3614" w:type="dxa"/>
          </w:tcPr>
          <w:p w14:paraId="0F42300B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6 Days from onset of rash</w:t>
            </w:r>
          </w:p>
        </w:tc>
        <w:tc>
          <w:tcPr>
            <w:tcW w:w="3219" w:type="dxa"/>
          </w:tcPr>
          <w:p w14:paraId="7939D59B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01C4ACDF" w14:textId="77777777" w:rsidTr="005A6243">
        <w:tc>
          <w:tcPr>
            <w:tcW w:w="3843" w:type="dxa"/>
          </w:tcPr>
          <w:p w14:paraId="24C8142B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Scabies</w:t>
            </w:r>
          </w:p>
        </w:tc>
        <w:tc>
          <w:tcPr>
            <w:tcW w:w="3614" w:type="dxa"/>
          </w:tcPr>
          <w:p w14:paraId="2ABA73D0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Until treated</w:t>
            </w:r>
          </w:p>
        </w:tc>
        <w:tc>
          <w:tcPr>
            <w:tcW w:w="3219" w:type="dxa"/>
          </w:tcPr>
          <w:p w14:paraId="4DF9C342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177549F2" w14:textId="77777777" w:rsidTr="005A6243">
        <w:tc>
          <w:tcPr>
            <w:tcW w:w="3843" w:type="dxa"/>
          </w:tcPr>
          <w:p w14:paraId="71289E15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Scarlet fever</w:t>
            </w:r>
          </w:p>
        </w:tc>
        <w:tc>
          <w:tcPr>
            <w:tcW w:w="3614" w:type="dxa"/>
          </w:tcPr>
          <w:p w14:paraId="3E4578E1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24 hours after starting antibiotic treatment</w:t>
            </w:r>
          </w:p>
        </w:tc>
        <w:tc>
          <w:tcPr>
            <w:tcW w:w="3219" w:type="dxa"/>
          </w:tcPr>
          <w:p w14:paraId="0A3B13DA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1B6A5828" w14:textId="77777777" w:rsidTr="005A6243">
        <w:tc>
          <w:tcPr>
            <w:tcW w:w="3843" w:type="dxa"/>
          </w:tcPr>
          <w:p w14:paraId="09A281CA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Thread worms</w:t>
            </w:r>
          </w:p>
        </w:tc>
        <w:tc>
          <w:tcPr>
            <w:tcW w:w="3614" w:type="dxa"/>
          </w:tcPr>
          <w:p w14:paraId="3A59D0B0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None but appropriate treatment required. </w:t>
            </w:r>
          </w:p>
        </w:tc>
        <w:tc>
          <w:tcPr>
            <w:tcW w:w="3219" w:type="dxa"/>
          </w:tcPr>
          <w:p w14:paraId="22A7D385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1B0FE013" w14:textId="77777777" w:rsidTr="005A6243">
        <w:tc>
          <w:tcPr>
            <w:tcW w:w="3843" w:type="dxa"/>
          </w:tcPr>
          <w:p w14:paraId="59C4AAE8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Whooping Cough</w:t>
            </w:r>
          </w:p>
        </w:tc>
        <w:tc>
          <w:tcPr>
            <w:tcW w:w="3614" w:type="dxa"/>
          </w:tcPr>
          <w:p w14:paraId="68DD5ED8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5 Days after starting antibiotic treatment or 21 days from onset if no antibiotic treatment is given.</w:t>
            </w:r>
          </w:p>
        </w:tc>
        <w:tc>
          <w:tcPr>
            <w:tcW w:w="3219" w:type="dxa"/>
          </w:tcPr>
          <w:p w14:paraId="0F8C7923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3F44D8A6" w14:textId="77777777" w:rsidTr="005A6243">
        <w:tc>
          <w:tcPr>
            <w:tcW w:w="3843" w:type="dxa"/>
          </w:tcPr>
          <w:p w14:paraId="4B1400C2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Meningococcal, Meningitis and Septicaemia</w:t>
            </w:r>
          </w:p>
        </w:tc>
        <w:tc>
          <w:tcPr>
            <w:tcW w:w="3614" w:type="dxa"/>
          </w:tcPr>
          <w:p w14:paraId="596DF3BB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As soon as recovered from virus, antibiotics eradicate carriage in siblings and close contact</w:t>
            </w:r>
          </w:p>
        </w:tc>
        <w:tc>
          <w:tcPr>
            <w:tcW w:w="3219" w:type="dxa"/>
          </w:tcPr>
          <w:p w14:paraId="6A2C444B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22AC3B73" w14:textId="77777777" w:rsidTr="005A6243">
        <w:tc>
          <w:tcPr>
            <w:tcW w:w="3843" w:type="dxa"/>
          </w:tcPr>
          <w:p w14:paraId="4F382541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Antibiotics</w:t>
            </w:r>
          </w:p>
        </w:tc>
        <w:tc>
          <w:tcPr>
            <w:tcW w:w="3614" w:type="dxa"/>
          </w:tcPr>
          <w:p w14:paraId="37FA1D5C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First Day of Treatment</w:t>
            </w:r>
          </w:p>
        </w:tc>
        <w:tc>
          <w:tcPr>
            <w:tcW w:w="3219" w:type="dxa"/>
          </w:tcPr>
          <w:p w14:paraId="114517BC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41FD86AB" w14:textId="77777777" w:rsidTr="005A6243">
        <w:tc>
          <w:tcPr>
            <w:tcW w:w="3843" w:type="dxa"/>
          </w:tcPr>
          <w:p w14:paraId="44716E70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Vomiting</w:t>
            </w:r>
          </w:p>
        </w:tc>
        <w:tc>
          <w:tcPr>
            <w:tcW w:w="3614" w:type="dxa"/>
          </w:tcPr>
          <w:p w14:paraId="4EA6995A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If sent home ill child must stay off for 48 Hours</w:t>
            </w:r>
          </w:p>
        </w:tc>
        <w:tc>
          <w:tcPr>
            <w:tcW w:w="3219" w:type="dxa"/>
          </w:tcPr>
          <w:p w14:paraId="6855E34A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520CDF21" w14:textId="77777777" w:rsidTr="005A6243">
        <w:tc>
          <w:tcPr>
            <w:tcW w:w="3843" w:type="dxa"/>
          </w:tcPr>
          <w:p w14:paraId="36242078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Diarrhoea</w:t>
            </w:r>
          </w:p>
        </w:tc>
        <w:tc>
          <w:tcPr>
            <w:tcW w:w="3614" w:type="dxa"/>
          </w:tcPr>
          <w:p w14:paraId="22FE66F9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If sent home ill child must be off for at least 48 Hours</w:t>
            </w:r>
          </w:p>
        </w:tc>
        <w:tc>
          <w:tcPr>
            <w:tcW w:w="3219" w:type="dxa"/>
          </w:tcPr>
          <w:p w14:paraId="14C12DF5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545E7" w:rsidRPr="003B55D7" w14:paraId="021CD247" w14:textId="77777777" w:rsidTr="005A6243">
        <w:tc>
          <w:tcPr>
            <w:tcW w:w="3843" w:type="dxa"/>
          </w:tcPr>
          <w:p w14:paraId="52D8C7A2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Temperature </w:t>
            </w:r>
          </w:p>
        </w:tc>
        <w:tc>
          <w:tcPr>
            <w:tcW w:w="3614" w:type="dxa"/>
          </w:tcPr>
          <w:p w14:paraId="616F791A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55D7">
              <w:rPr>
                <w:rFonts w:ascii="Arial" w:hAnsi="Arial" w:cs="Arial"/>
                <w:sz w:val="20"/>
                <w:szCs w:val="20"/>
                <w:lang w:eastAsia="en-GB"/>
              </w:rPr>
              <w:t>Until temperature returns to normal without the aid of Calpol.</w:t>
            </w:r>
          </w:p>
        </w:tc>
        <w:tc>
          <w:tcPr>
            <w:tcW w:w="3219" w:type="dxa"/>
          </w:tcPr>
          <w:p w14:paraId="0C85BFD4" w14:textId="77777777" w:rsidR="00F545E7" w:rsidRPr="003B55D7" w:rsidRDefault="00F545E7" w:rsidP="005A624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26BBB25B" w14:textId="77777777" w:rsidR="002676FE" w:rsidRDefault="002676FE">
      <w:pPr>
        <w:rPr>
          <w:rFonts w:ascii="Arial" w:hAnsi="Arial" w:cs="Arial"/>
          <w:sz w:val="20"/>
          <w:szCs w:val="20"/>
        </w:rPr>
      </w:pPr>
    </w:p>
    <w:p w14:paraId="09B60842" w14:textId="4C1F956F" w:rsidR="004C38F5" w:rsidRDefault="00267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nursery follows exclusion</w:t>
      </w:r>
      <w:r w:rsidRPr="002676FE">
        <w:rPr>
          <w:rFonts w:ascii="Arial" w:hAnsi="Arial" w:cs="Arial"/>
          <w:sz w:val="20"/>
          <w:szCs w:val="20"/>
        </w:rPr>
        <w:t xml:space="preserve"> guidelines given to us by</w:t>
      </w:r>
      <w:r>
        <w:rPr>
          <w:rFonts w:ascii="Arial" w:hAnsi="Arial" w:cs="Arial"/>
          <w:sz w:val="20"/>
          <w:szCs w:val="20"/>
        </w:rPr>
        <w:t xml:space="preserve"> the Environmental H</w:t>
      </w:r>
      <w:r w:rsidRPr="002676FE">
        <w:rPr>
          <w:rFonts w:ascii="Arial" w:hAnsi="Arial" w:cs="Arial"/>
          <w:sz w:val="20"/>
          <w:szCs w:val="20"/>
        </w:rPr>
        <w:t>ealth</w:t>
      </w:r>
      <w:r>
        <w:rPr>
          <w:rFonts w:ascii="Arial" w:hAnsi="Arial" w:cs="Arial"/>
          <w:sz w:val="20"/>
          <w:szCs w:val="20"/>
        </w:rPr>
        <w:t xml:space="preserve"> Department</w:t>
      </w:r>
      <w:r w:rsidRPr="002676FE">
        <w:rPr>
          <w:rFonts w:ascii="Arial" w:hAnsi="Arial" w:cs="Arial"/>
          <w:sz w:val="20"/>
          <w:szCs w:val="20"/>
        </w:rPr>
        <w:t>. All staff sign to say they are aware of exclusion periods and understand their role in minimisin</w:t>
      </w:r>
      <w:r>
        <w:rPr>
          <w:rFonts w:ascii="Arial" w:hAnsi="Arial" w:cs="Arial"/>
          <w:sz w:val="20"/>
          <w:szCs w:val="20"/>
        </w:rPr>
        <w:t>g the spread of illness and infection.</w:t>
      </w:r>
      <w:r w:rsidR="00F061D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061D1">
        <w:rPr>
          <w:rFonts w:ascii="Arial" w:hAnsi="Arial" w:cs="Arial"/>
          <w:sz w:val="20"/>
          <w:szCs w:val="20"/>
        </w:rPr>
        <w:t xml:space="preserve">A copy </w:t>
      </w:r>
      <w:r>
        <w:rPr>
          <w:rFonts w:ascii="Arial" w:hAnsi="Arial" w:cs="Arial"/>
          <w:sz w:val="20"/>
          <w:szCs w:val="20"/>
        </w:rPr>
        <w:t>of exclusion periods are</w:t>
      </w:r>
      <w:proofErr w:type="gramEnd"/>
      <w:r>
        <w:rPr>
          <w:rFonts w:ascii="Arial" w:hAnsi="Arial" w:cs="Arial"/>
          <w:sz w:val="20"/>
          <w:szCs w:val="20"/>
        </w:rPr>
        <w:t xml:space="preserve"> given to parents as part of their parent pack. </w:t>
      </w:r>
    </w:p>
    <w:p w14:paraId="27678320" w14:textId="6DD00A79" w:rsidR="002676FE" w:rsidRPr="003B55D7" w:rsidRDefault="002676FE">
      <w:pPr>
        <w:rPr>
          <w:rFonts w:ascii="Arial" w:hAnsi="Arial" w:cs="Arial"/>
          <w:b/>
          <w:sz w:val="20"/>
          <w:szCs w:val="20"/>
        </w:rPr>
      </w:pPr>
      <w:r w:rsidRPr="003B55D7">
        <w:rPr>
          <w:rFonts w:ascii="Arial" w:hAnsi="Arial" w:cs="Arial"/>
          <w:b/>
          <w:sz w:val="20"/>
          <w:szCs w:val="20"/>
        </w:rPr>
        <w:t>Policy</w:t>
      </w:r>
      <w:r w:rsidR="003B55D7">
        <w:rPr>
          <w:rFonts w:ascii="Arial" w:hAnsi="Arial" w:cs="Arial"/>
          <w:b/>
          <w:sz w:val="20"/>
          <w:szCs w:val="20"/>
        </w:rPr>
        <w:t xml:space="preserve"> adopted on</w:t>
      </w:r>
      <w:r w:rsidRPr="003B55D7">
        <w:rPr>
          <w:rFonts w:ascii="Arial" w:hAnsi="Arial" w:cs="Arial"/>
          <w:b/>
          <w:sz w:val="20"/>
          <w:szCs w:val="20"/>
        </w:rPr>
        <w:t xml:space="preserve">: </w:t>
      </w:r>
      <w:r w:rsidR="003B55D7" w:rsidRPr="003B55D7">
        <w:rPr>
          <w:rFonts w:ascii="Arial" w:hAnsi="Arial" w:cs="Arial"/>
          <w:b/>
          <w:sz w:val="20"/>
          <w:szCs w:val="20"/>
        </w:rPr>
        <w:t xml:space="preserve">March 2021 </w:t>
      </w:r>
      <w:r w:rsidR="003B55D7">
        <w:rPr>
          <w:rFonts w:ascii="Arial" w:hAnsi="Arial" w:cs="Arial"/>
          <w:b/>
          <w:sz w:val="20"/>
          <w:szCs w:val="20"/>
        </w:rPr>
        <w:t xml:space="preserve">   Review next: </w:t>
      </w:r>
      <w:r w:rsidR="003B55D7" w:rsidRPr="003B55D7">
        <w:rPr>
          <w:rFonts w:ascii="Arial" w:hAnsi="Arial" w:cs="Arial"/>
          <w:b/>
          <w:sz w:val="20"/>
          <w:szCs w:val="20"/>
        </w:rPr>
        <w:t xml:space="preserve">March 2022   </w:t>
      </w:r>
      <w:r w:rsidRPr="003B55D7">
        <w:rPr>
          <w:rFonts w:ascii="Arial" w:hAnsi="Arial" w:cs="Arial"/>
          <w:b/>
          <w:sz w:val="20"/>
          <w:szCs w:val="20"/>
        </w:rPr>
        <w:t>Reviewed by: Sally Johnstone</w:t>
      </w:r>
      <w:bookmarkStart w:id="0" w:name="_GoBack"/>
      <w:bookmarkEnd w:id="0"/>
      <w:r w:rsidRPr="003B55D7">
        <w:rPr>
          <w:rFonts w:ascii="Arial" w:hAnsi="Arial" w:cs="Arial"/>
          <w:b/>
          <w:sz w:val="20"/>
          <w:szCs w:val="20"/>
        </w:rPr>
        <w:t>.</w:t>
      </w:r>
    </w:p>
    <w:sectPr w:rsidR="002676FE" w:rsidRPr="003B55D7" w:rsidSect="00F545E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28728" w14:textId="77777777" w:rsidR="002676FE" w:rsidRDefault="002676FE" w:rsidP="002676FE">
      <w:r>
        <w:separator/>
      </w:r>
    </w:p>
  </w:endnote>
  <w:endnote w:type="continuationSeparator" w:id="0">
    <w:p w14:paraId="2162939D" w14:textId="77777777" w:rsidR="002676FE" w:rsidRDefault="002676FE" w:rsidP="0026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CB2CE" w14:textId="77777777" w:rsidR="002676FE" w:rsidRDefault="002676FE" w:rsidP="002676FE">
      <w:r>
        <w:separator/>
      </w:r>
    </w:p>
  </w:footnote>
  <w:footnote w:type="continuationSeparator" w:id="0">
    <w:p w14:paraId="4A30F1D0" w14:textId="77777777" w:rsidR="002676FE" w:rsidRDefault="002676FE" w:rsidP="0026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E7"/>
    <w:rsid w:val="002676FE"/>
    <w:rsid w:val="003B55D7"/>
    <w:rsid w:val="004C38F5"/>
    <w:rsid w:val="005A6243"/>
    <w:rsid w:val="00F061D1"/>
    <w:rsid w:val="00F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F6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6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6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7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F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6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6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7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1614</Characters>
  <Application>Microsoft Macintosh Word</Application>
  <DocSecurity>0</DocSecurity>
  <Lines>13</Lines>
  <Paragraphs>3</Paragraphs>
  <ScaleCrop>false</ScaleCrop>
  <Company>Hope Green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Johnstone</dc:creator>
  <cp:keywords/>
  <dc:description/>
  <cp:lastModifiedBy>Sally Johnstone</cp:lastModifiedBy>
  <cp:revision>5</cp:revision>
  <cp:lastPrinted>2017-06-27T15:05:00Z</cp:lastPrinted>
  <dcterms:created xsi:type="dcterms:W3CDTF">2017-06-27T13:31:00Z</dcterms:created>
  <dcterms:modified xsi:type="dcterms:W3CDTF">2021-03-25T16:43:00Z</dcterms:modified>
</cp:coreProperties>
</file>